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C6876" w14:textId="77777777" w:rsidR="00DD2976" w:rsidRPr="00C710E6" w:rsidRDefault="00DD2976" w:rsidP="00C710E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710E6">
        <w:rPr>
          <w:rFonts w:ascii="Times New Roman" w:hAnsi="Times New Roman" w:cs="Times New Roman"/>
          <w:sz w:val="28"/>
          <w:szCs w:val="28"/>
        </w:rPr>
        <w:t>Утвержден протоколом Комиссии по антимонопольному комплаенсу</w:t>
      </w:r>
      <w:r w:rsidR="00A518E5" w:rsidRPr="00C710E6">
        <w:rPr>
          <w:rFonts w:ascii="Times New Roman" w:hAnsi="Times New Roman" w:cs="Times New Roman"/>
          <w:sz w:val="28"/>
          <w:szCs w:val="28"/>
        </w:rPr>
        <w:t xml:space="preserve"> ФИЦ КНЦ СО РАН</w:t>
      </w:r>
    </w:p>
    <w:p w14:paraId="09602301" w14:textId="4C42EC1C" w:rsidR="00A518E5" w:rsidRPr="00C710E6" w:rsidRDefault="00A518E5" w:rsidP="00C710E6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C710E6">
        <w:rPr>
          <w:rFonts w:ascii="Times New Roman" w:hAnsi="Times New Roman" w:cs="Times New Roman"/>
          <w:sz w:val="28"/>
          <w:szCs w:val="28"/>
        </w:rPr>
        <w:t xml:space="preserve">от </w:t>
      </w:r>
      <w:r w:rsidR="005B2E3A">
        <w:rPr>
          <w:rFonts w:ascii="Times New Roman" w:hAnsi="Times New Roman" w:cs="Times New Roman"/>
          <w:sz w:val="28"/>
          <w:szCs w:val="28"/>
        </w:rPr>
        <w:t>28</w:t>
      </w:r>
      <w:r w:rsidR="005D0DA8">
        <w:rPr>
          <w:rFonts w:ascii="Times New Roman" w:hAnsi="Times New Roman" w:cs="Times New Roman"/>
          <w:sz w:val="28"/>
          <w:szCs w:val="28"/>
        </w:rPr>
        <w:t>.0</w:t>
      </w:r>
      <w:r w:rsidR="005B2E3A">
        <w:rPr>
          <w:rFonts w:ascii="Times New Roman" w:hAnsi="Times New Roman" w:cs="Times New Roman"/>
          <w:sz w:val="28"/>
          <w:szCs w:val="28"/>
        </w:rPr>
        <w:t>1</w:t>
      </w:r>
      <w:r w:rsidR="005D0DA8">
        <w:rPr>
          <w:rFonts w:ascii="Times New Roman" w:hAnsi="Times New Roman" w:cs="Times New Roman"/>
          <w:sz w:val="28"/>
          <w:szCs w:val="28"/>
        </w:rPr>
        <w:t>.202</w:t>
      </w:r>
      <w:r w:rsidR="005B2E3A">
        <w:rPr>
          <w:rFonts w:ascii="Times New Roman" w:hAnsi="Times New Roman" w:cs="Times New Roman"/>
          <w:sz w:val="28"/>
          <w:szCs w:val="28"/>
        </w:rPr>
        <w:t>6</w:t>
      </w:r>
      <w:r w:rsidRPr="00C710E6">
        <w:rPr>
          <w:rFonts w:ascii="Times New Roman" w:hAnsi="Times New Roman" w:cs="Times New Roman"/>
          <w:sz w:val="28"/>
          <w:szCs w:val="28"/>
        </w:rPr>
        <w:t xml:space="preserve"> № </w:t>
      </w:r>
      <w:r w:rsidR="005D0DA8">
        <w:rPr>
          <w:rFonts w:ascii="Times New Roman" w:hAnsi="Times New Roman" w:cs="Times New Roman"/>
          <w:sz w:val="28"/>
          <w:szCs w:val="28"/>
        </w:rPr>
        <w:t>1</w:t>
      </w:r>
    </w:p>
    <w:p w14:paraId="482B9050" w14:textId="77777777" w:rsidR="00A518E5" w:rsidRPr="00A518E5" w:rsidRDefault="00A518E5" w:rsidP="00A518E5">
      <w:pPr>
        <w:spacing w:after="0" w:line="240" w:lineRule="auto"/>
        <w:ind w:left="6804"/>
        <w:rPr>
          <w:rFonts w:ascii="Times New Roman" w:hAnsi="Times New Roman" w:cs="Times New Roman"/>
          <w:b/>
          <w:sz w:val="28"/>
          <w:szCs w:val="28"/>
        </w:rPr>
      </w:pPr>
    </w:p>
    <w:p w14:paraId="4A4C3AAF" w14:textId="77777777" w:rsidR="009C3C74" w:rsidRDefault="002D69A0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C3C74">
        <w:rPr>
          <w:rFonts w:ascii="Times New Roman" w:hAnsi="Times New Roman" w:cs="Times New Roman"/>
          <w:b/>
          <w:sz w:val="28"/>
          <w:szCs w:val="28"/>
        </w:rPr>
        <w:t>ОКЛАД</w:t>
      </w:r>
      <w:r w:rsidR="00DD5976" w:rsidRPr="00174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741B72" w14:textId="23E52C35" w:rsidR="00DD5976" w:rsidRDefault="00DD5976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511AE">
        <w:rPr>
          <w:rFonts w:ascii="Times New Roman" w:hAnsi="Times New Roman" w:cs="Times New Roman"/>
          <w:b/>
          <w:sz w:val="28"/>
          <w:szCs w:val="28"/>
        </w:rPr>
        <w:t xml:space="preserve">антимонопольном комплаенсе </w:t>
      </w:r>
      <w:r w:rsidR="009C3C74">
        <w:rPr>
          <w:rFonts w:ascii="Times New Roman" w:hAnsi="Times New Roman" w:cs="Times New Roman"/>
          <w:b/>
          <w:sz w:val="28"/>
          <w:szCs w:val="28"/>
        </w:rPr>
        <w:t>Федерально</w:t>
      </w:r>
      <w:r w:rsidR="001511AE">
        <w:rPr>
          <w:rFonts w:ascii="Times New Roman" w:hAnsi="Times New Roman" w:cs="Times New Roman"/>
          <w:b/>
          <w:sz w:val="28"/>
          <w:szCs w:val="28"/>
        </w:rPr>
        <w:t>го</w:t>
      </w:r>
      <w:r w:rsidR="009C3C74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="001511AE">
        <w:rPr>
          <w:rFonts w:ascii="Times New Roman" w:hAnsi="Times New Roman" w:cs="Times New Roman"/>
          <w:b/>
          <w:sz w:val="28"/>
          <w:szCs w:val="28"/>
        </w:rPr>
        <w:t>го</w:t>
      </w:r>
      <w:r w:rsidR="009C3C74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 w:rsidR="001511AE">
        <w:rPr>
          <w:rFonts w:ascii="Times New Roman" w:hAnsi="Times New Roman" w:cs="Times New Roman"/>
          <w:b/>
          <w:sz w:val="28"/>
          <w:szCs w:val="28"/>
        </w:rPr>
        <w:t>го</w:t>
      </w:r>
      <w:r w:rsidR="009C3C74">
        <w:rPr>
          <w:rFonts w:ascii="Times New Roman" w:hAnsi="Times New Roman" w:cs="Times New Roman"/>
          <w:b/>
          <w:sz w:val="28"/>
          <w:szCs w:val="28"/>
        </w:rPr>
        <w:t xml:space="preserve"> научно</w:t>
      </w:r>
      <w:r w:rsidR="001511AE">
        <w:rPr>
          <w:rFonts w:ascii="Times New Roman" w:hAnsi="Times New Roman" w:cs="Times New Roman"/>
          <w:b/>
          <w:sz w:val="28"/>
          <w:szCs w:val="28"/>
        </w:rPr>
        <w:t>го</w:t>
      </w:r>
      <w:r w:rsidR="009C3C74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1511AE">
        <w:rPr>
          <w:rFonts w:ascii="Times New Roman" w:hAnsi="Times New Roman" w:cs="Times New Roman"/>
          <w:b/>
          <w:sz w:val="28"/>
          <w:szCs w:val="28"/>
        </w:rPr>
        <w:t>я</w:t>
      </w:r>
      <w:r w:rsidR="009C3C74">
        <w:rPr>
          <w:rFonts w:ascii="Times New Roman" w:hAnsi="Times New Roman" w:cs="Times New Roman"/>
          <w:b/>
          <w:sz w:val="28"/>
          <w:szCs w:val="28"/>
        </w:rPr>
        <w:t xml:space="preserve"> «Федеральный исследовательский центр «Красноярский научный центр Сибирского отделения Российской академии наук»</w:t>
      </w:r>
      <w:r w:rsidR="00DF4B03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B33AD" w:rsidRPr="001B33AD">
        <w:rPr>
          <w:rFonts w:ascii="Times New Roman" w:hAnsi="Times New Roman" w:cs="Times New Roman"/>
          <w:b/>
          <w:sz w:val="28"/>
          <w:szCs w:val="28"/>
        </w:rPr>
        <w:t>5</w:t>
      </w:r>
      <w:r w:rsidR="001511A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264DD662" w14:textId="77777777" w:rsidR="00AF4AAA" w:rsidRPr="00620A9A" w:rsidRDefault="00AF4AAA" w:rsidP="00AF4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62BA5" w14:textId="1BB6A5EB" w:rsidR="00D323B2" w:rsidRPr="006A3112" w:rsidRDefault="00D323B2" w:rsidP="00D45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Система внутреннего обеспечения соответствия требованиям антимонопольного законодательства (далее – антимонопольный комплаенс) в Федеральном государственном бюджетном научном учреждении «Федеральный исследовательский центр «Красноярский научный центр Сибирского отделения Российской академии наук» (далее – Учреждение) создана в соответствии с Приказом об организации системы внутреннего обеспечения соответствия требованиям антимонопольного законодательства в Министерстве науки и высшего образования Российской Федерации от 14.12.2020г. № 1526.</w:t>
      </w:r>
    </w:p>
    <w:p w14:paraId="3A651BB4" w14:textId="111BE8EC" w:rsidR="00D323B2" w:rsidRPr="006A3112" w:rsidRDefault="00D323B2" w:rsidP="00D45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В соответствии с требованиями вышеуказанного документа</w:t>
      </w:r>
      <w:r w:rsidR="00220894">
        <w:rPr>
          <w:rFonts w:ascii="Times New Roman" w:hAnsi="Times New Roman" w:cs="Times New Roman"/>
          <w:sz w:val="28"/>
          <w:szCs w:val="28"/>
        </w:rPr>
        <w:t xml:space="preserve">, а также во исполнение протокола </w:t>
      </w:r>
      <w:r w:rsidR="002B4F71">
        <w:rPr>
          <w:rFonts w:ascii="Times New Roman" w:hAnsi="Times New Roman" w:cs="Times New Roman"/>
          <w:sz w:val="28"/>
          <w:szCs w:val="28"/>
        </w:rPr>
        <w:t xml:space="preserve">№1 </w:t>
      </w:r>
      <w:r w:rsidR="0022089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B4F71">
        <w:rPr>
          <w:rFonts w:ascii="Times New Roman" w:hAnsi="Times New Roman" w:cs="Times New Roman"/>
          <w:sz w:val="28"/>
          <w:szCs w:val="28"/>
        </w:rPr>
        <w:t xml:space="preserve">комиссии, осуществляющей оценку эффективности организации и функционирования антимонопольного комплаенса от </w:t>
      </w:r>
      <w:r w:rsidR="005B2E3A">
        <w:rPr>
          <w:rFonts w:ascii="Times New Roman" w:hAnsi="Times New Roman" w:cs="Times New Roman"/>
          <w:sz w:val="28"/>
          <w:szCs w:val="28"/>
        </w:rPr>
        <w:t>03</w:t>
      </w:r>
      <w:r w:rsidR="002B4F71">
        <w:rPr>
          <w:rFonts w:ascii="Times New Roman" w:hAnsi="Times New Roman" w:cs="Times New Roman"/>
          <w:sz w:val="28"/>
          <w:szCs w:val="28"/>
        </w:rPr>
        <w:t>.</w:t>
      </w:r>
      <w:r w:rsidR="005B2E3A">
        <w:rPr>
          <w:rFonts w:ascii="Times New Roman" w:hAnsi="Times New Roman" w:cs="Times New Roman"/>
          <w:sz w:val="28"/>
          <w:szCs w:val="28"/>
        </w:rPr>
        <w:t>02</w:t>
      </w:r>
      <w:r w:rsidR="002B4F71">
        <w:rPr>
          <w:rFonts w:ascii="Times New Roman" w:hAnsi="Times New Roman" w:cs="Times New Roman"/>
          <w:sz w:val="28"/>
          <w:szCs w:val="28"/>
        </w:rPr>
        <w:t>.202</w:t>
      </w:r>
      <w:r w:rsidR="005B2E3A">
        <w:rPr>
          <w:rFonts w:ascii="Times New Roman" w:hAnsi="Times New Roman" w:cs="Times New Roman"/>
          <w:sz w:val="28"/>
          <w:szCs w:val="28"/>
        </w:rPr>
        <w:t>5</w:t>
      </w:r>
      <w:r w:rsidR="002B4F71">
        <w:rPr>
          <w:rFonts w:ascii="Times New Roman" w:hAnsi="Times New Roman" w:cs="Times New Roman"/>
          <w:sz w:val="28"/>
          <w:szCs w:val="28"/>
        </w:rPr>
        <w:t xml:space="preserve">г., </w:t>
      </w:r>
      <w:r w:rsidR="00961DFE">
        <w:rPr>
          <w:rFonts w:ascii="Times New Roman" w:hAnsi="Times New Roman" w:cs="Times New Roman"/>
          <w:sz w:val="28"/>
          <w:szCs w:val="28"/>
        </w:rPr>
        <w:t>в 202</w:t>
      </w:r>
      <w:r w:rsidR="005B2E3A">
        <w:rPr>
          <w:rFonts w:ascii="Times New Roman" w:hAnsi="Times New Roman" w:cs="Times New Roman"/>
          <w:sz w:val="28"/>
          <w:szCs w:val="28"/>
        </w:rPr>
        <w:t>5</w:t>
      </w:r>
      <w:r w:rsidR="00961DF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A3112">
        <w:rPr>
          <w:rFonts w:ascii="Times New Roman" w:hAnsi="Times New Roman" w:cs="Times New Roman"/>
          <w:sz w:val="28"/>
          <w:szCs w:val="28"/>
        </w:rPr>
        <w:t>:</w:t>
      </w:r>
    </w:p>
    <w:p w14:paraId="07DE1E55" w14:textId="77777777" w:rsidR="00641529" w:rsidRPr="006A3112" w:rsidRDefault="00641529" w:rsidP="00D45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В целях обеспечения открытости и доступа к информации на официальном сайте Учреждения в информационно-телекоммуникационной сети «</w:t>
      </w:r>
      <w:r w:rsidR="000D265D" w:rsidRPr="006A3112">
        <w:rPr>
          <w:rFonts w:ascii="Times New Roman" w:hAnsi="Times New Roman" w:cs="Times New Roman"/>
          <w:sz w:val="28"/>
          <w:szCs w:val="28"/>
        </w:rPr>
        <w:t>Интернет</w:t>
      </w:r>
      <w:r w:rsidRPr="006A3112">
        <w:rPr>
          <w:rFonts w:ascii="Times New Roman" w:hAnsi="Times New Roman" w:cs="Times New Roman"/>
          <w:sz w:val="28"/>
          <w:szCs w:val="28"/>
        </w:rPr>
        <w:t xml:space="preserve">» </w:t>
      </w:r>
      <w:r w:rsidR="002F2851" w:rsidRPr="006A3112">
        <w:rPr>
          <w:rFonts w:ascii="Times New Roman" w:hAnsi="Times New Roman" w:cs="Times New Roman"/>
          <w:sz w:val="28"/>
          <w:szCs w:val="28"/>
        </w:rPr>
        <w:t xml:space="preserve">(https://ksc.krasn.ru) </w:t>
      </w:r>
      <w:r w:rsidRPr="006A3112">
        <w:rPr>
          <w:rFonts w:ascii="Times New Roman" w:hAnsi="Times New Roman" w:cs="Times New Roman"/>
          <w:sz w:val="28"/>
          <w:szCs w:val="28"/>
        </w:rPr>
        <w:t>в разделе «Раскрытие информации</w:t>
      </w:r>
      <w:r w:rsidR="00E632EA" w:rsidRPr="006A3112">
        <w:rPr>
          <w:rFonts w:ascii="Times New Roman" w:hAnsi="Times New Roman" w:cs="Times New Roman"/>
          <w:sz w:val="28"/>
          <w:szCs w:val="28"/>
        </w:rPr>
        <w:t xml:space="preserve"> – Контрактная служба</w:t>
      </w:r>
      <w:r w:rsidRPr="006A3112">
        <w:rPr>
          <w:rFonts w:ascii="Times New Roman" w:hAnsi="Times New Roman" w:cs="Times New Roman"/>
          <w:sz w:val="28"/>
          <w:szCs w:val="28"/>
        </w:rPr>
        <w:t>» размещены документы, регламентирующие антимонопольный комплаенс в Учреждении.</w:t>
      </w:r>
    </w:p>
    <w:p w14:paraId="6F3E58F9" w14:textId="70510405" w:rsidR="00D323B2" w:rsidRPr="006A3112" w:rsidRDefault="00E632EA" w:rsidP="00D45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В целях выявления комплаенс-рисков в 202</w:t>
      </w:r>
      <w:r w:rsidR="005B2E3A">
        <w:rPr>
          <w:rFonts w:ascii="Times New Roman" w:hAnsi="Times New Roman" w:cs="Times New Roman"/>
          <w:sz w:val="28"/>
          <w:szCs w:val="28"/>
        </w:rPr>
        <w:t>5</w:t>
      </w:r>
      <w:r w:rsidRPr="006A3112">
        <w:rPr>
          <w:rFonts w:ascii="Times New Roman" w:hAnsi="Times New Roman" w:cs="Times New Roman"/>
          <w:sz w:val="28"/>
          <w:szCs w:val="28"/>
        </w:rPr>
        <w:t>г. Учреждением проведены следующие мероприятия:</w:t>
      </w:r>
    </w:p>
    <w:p w14:paraId="7C0D0391" w14:textId="01341E7E" w:rsidR="00E632EA" w:rsidRPr="0042644E" w:rsidRDefault="00E632EA" w:rsidP="008B428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CF7336" w:rsidRPr="0042644E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42644E">
        <w:rPr>
          <w:rFonts w:ascii="Times New Roman" w:hAnsi="Times New Roman" w:cs="Times New Roman"/>
          <w:sz w:val="28"/>
          <w:szCs w:val="28"/>
        </w:rPr>
        <w:t>выявленных нарушений антимонопольного законодательства в деятельности Учреждения</w:t>
      </w:r>
      <w:r w:rsidR="00B6403A" w:rsidRPr="0042644E">
        <w:rPr>
          <w:rFonts w:ascii="Times New Roman" w:hAnsi="Times New Roman" w:cs="Times New Roman"/>
          <w:sz w:val="28"/>
          <w:szCs w:val="28"/>
        </w:rPr>
        <w:t>, разработка предложений по совершенствованию системы контроля</w:t>
      </w:r>
      <w:r w:rsidR="005B1DD4" w:rsidRPr="0042644E">
        <w:rPr>
          <w:rFonts w:ascii="Times New Roman" w:hAnsi="Times New Roman" w:cs="Times New Roman"/>
          <w:sz w:val="28"/>
          <w:szCs w:val="28"/>
        </w:rPr>
        <w:t xml:space="preserve"> с целью совершенствования системы внутреннего контроля</w:t>
      </w:r>
      <w:r w:rsidR="001C7515" w:rsidRPr="0042644E">
        <w:rPr>
          <w:rFonts w:ascii="Times New Roman" w:hAnsi="Times New Roman" w:cs="Times New Roman"/>
          <w:sz w:val="28"/>
          <w:szCs w:val="28"/>
        </w:rPr>
        <w:t xml:space="preserve"> (исп. Контрактная служба)</w:t>
      </w:r>
      <w:r w:rsidRPr="0042644E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579E312E" w14:textId="66C8D016" w:rsidR="00033B9E" w:rsidRPr="0042644E" w:rsidRDefault="00B6403A" w:rsidP="008B428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44E">
        <w:rPr>
          <w:rFonts w:ascii="Times New Roman" w:hAnsi="Times New Roman" w:cs="Times New Roman"/>
          <w:sz w:val="28"/>
          <w:szCs w:val="28"/>
        </w:rPr>
        <w:t>постоянный</w:t>
      </w:r>
      <w:r w:rsidR="003D1DF2" w:rsidRPr="0042644E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033B9E" w:rsidRPr="0042644E">
        <w:rPr>
          <w:rFonts w:ascii="Times New Roman" w:hAnsi="Times New Roman" w:cs="Times New Roman"/>
          <w:sz w:val="28"/>
          <w:szCs w:val="28"/>
        </w:rPr>
        <w:t>изменений</w:t>
      </w:r>
      <w:r w:rsidR="003D1DF2" w:rsidRPr="0042644E">
        <w:rPr>
          <w:rFonts w:ascii="Times New Roman" w:hAnsi="Times New Roman" w:cs="Times New Roman"/>
          <w:sz w:val="28"/>
          <w:szCs w:val="28"/>
        </w:rPr>
        <w:t xml:space="preserve"> </w:t>
      </w:r>
      <w:r w:rsidRPr="0042644E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и </w:t>
      </w:r>
      <w:r w:rsidR="00033B9E" w:rsidRPr="0042644E">
        <w:rPr>
          <w:rFonts w:ascii="Times New Roman" w:hAnsi="Times New Roman" w:cs="Times New Roman"/>
          <w:sz w:val="28"/>
          <w:szCs w:val="28"/>
        </w:rPr>
        <w:t>законодательств</w:t>
      </w:r>
      <w:r w:rsidR="00CF7336" w:rsidRPr="0042644E">
        <w:rPr>
          <w:rFonts w:ascii="Times New Roman" w:hAnsi="Times New Roman" w:cs="Times New Roman"/>
          <w:sz w:val="28"/>
          <w:szCs w:val="28"/>
        </w:rPr>
        <w:t>а</w:t>
      </w:r>
      <w:r w:rsidR="00033B9E" w:rsidRPr="0042644E">
        <w:rPr>
          <w:rFonts w:ascii="Times New Roman" w:hAnsi="Times New Roman" w:cs="Times New Roman"/>
          <w:sz w:val="28"/>
          <w:szCs w:val="28"/>
        </w:rPr>
        <w:t xml:space="preserve"> о закупках</w:t>
      </w:r>
      <w:r w:rsidR="005B1DD4" w:rsidRPr="0042644E">
        <w:rPr>
          <w:rFonts w:ascii="Times New Roman" w:hAnsi="Times New Roman" w:cs="Times New Roman"/>
          <w:sz w:val="28"/>
          <w:szCs w:val="28"/>
        </w:rPr>
        <w:t xml:space="preserve"> </w:t>
      </w:r>
      <w:r w:rsidR="000A4EB1" w:rsidRPr="0042644E">
        <w:rPr>
          <w:rFonts w:ascii="Times New Roman" w:hAnsi="Times New Roman" w:cs="Times New Roman"/>
          <w:sz w:val="28"/>
          <w:szCs w:val="28"/>
        </w:rPr>
        <w:t xml:space="preserve">с целью сокращения вероятности наступления комплаенс-рисков и недопущения нарушений антимонопольного законодательства </w:t>
      </w:r>
      <w:r w:rsidR="003D1DF2" w:rsidRPr="0042644E">
        <w:rPr>
          <w:rFonts w:ascii="Times New Roman" w:hAnsi="Times New Roman" w:cs="Times New Roman"/>
          <w:sz w:val="28"/>
          <w:szCs w:val="28"/>
        </w:rPr>
        <w:t xml:space="preserve">сотрудниками контрактной службы </w:t>
      </w:r>
      <w:r w:rsidR="005B1DD4" w:rsidRPr="0042644E">
        <w:rPr>
          <w:rFonts w:ascii="Times New Roman" w:hAnsi="Times New Roman" w:cs="Times New Roman"/>
          <w:sz w:val="28"/>
          <w:szCs w:val="28"/>
        </w:rPr>
        <w:t>(</w:t>
      </w:r>
      <w:r w:rsidR="000A4EB1" w:rsidRPr="0042644E">
        <w:rPr>
          <w:rFonts w:ascii="Times New Roman" w:hAnsi="Times New Roman" w:cs="Times New Roman"/>
          <w:sz w:val="28"/>
          <w:szCs w:val="28"/>
        </w:rPr>
        <w:t>и</w:t>
      </w:r>
      <w:r w:rsidR="005B1DD4" w:rsidRPr="0042644E">
        <w:rPr>
          <w:rFonts w:ascii="Times New Roman" w:hAnsi="Times New Roman" w:cs="Times New Roman"/>
          <w:sz w:val="28"/>
          <w:szCs w:val="28"/>
        </w:rPr>
        <w:t>сп. Контрактная служба</w:t>
      </w:r>
      <w:r w:rsidR="000A4EB1" w:rsidRPr="0042644E">
        <w:rPr>
          <w:rFonts w:ascii="Times New Roman" w:hAnsi="Times New Roman" w:cs="Times New Roman"/>
          <w:sz w:val="28"/>
          <w:szCs w:val="28"/>
        </w:rPr>
        <w:t>)</w:t>
      </w:r>
      <w:r w:rsidR="00033B9E" w:rsidRPr="0042644E">
        <w:rPr>
          <w:rFonts w:ascii="Times New Roman" w:hAnsi="Times New Roman" w:cs="Times New Roman"/>
          <w:sz w:val="28"/>
          <w:szCs w:val="28"/>
        </w:rPr>
        <w:t>;</w:t>
      </w:r>
    </w:p>
    <w:p w14:paraId="40E3C02C" w14:textId="62FF7AA9" w:rsidR="007F03C1" w:rsidRPr="0042644E" w:rsidRDefault="007F03C1" w:rsidP="008B428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44E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антимонопольного законодательства</w:t>
      </w:r>
      <w:r w:rsidR="0042644E" w:rsidRPr="0042644E">
        <w:rPr>
          <w:rFonts w:ascii="Times New Roman" w:hAnsi="Times New Roman" w:cs="Times New Roman"/>
          <w:sz w:val="28"/>
          <w:szCs w:val="28"/>
        </w:rPr>
        <w:t xml:space="preserve"> (исп. Контрактная служба);</w:t>
      </w:r>
    </w:p>
    <w:p w14:paraId="3ACD0FFA" w14:textId="77777777" w:rsidR="0042644E" w:rsidRPr="0042644E" w:rsidRDefault="0042644E" w:rsidP="008B428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44E">
        <w:rPr>
          <w:rFonts w:ascii="Times New Roman" w:hAnsi="Times New Roman" w:cs="Times New Roman"/>
          <w:sz w:val="28"/>
          <w:szCs w:val="28"/>
        </w:rPr>
        <w:t>повышение квалификации сотрудников, ответственных за закупки (исп. Контрактная служба);</w:t>
      </w:r>
    </w:p>
    <w:p w14:paraId="6AD183E8" w14:textId="162D1BBB" w:rsidR="00033B9E" w:rsidRPr="0042644E" w:rsidRDefault="00033B9E" w:rsidP="008B428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44E">
        <w:rPr>
          <w:rFonts w:ascii="Times New Roman" w:hAnsi="Times New Roman" w:cs="Times New Roman"/>
          <w:sz w:val="28"/>
          <w:szCs w:val="28"/>
        </w:rPr>
        <w:t>контроль за соблюдением требований законодательства в сфере закупок</w:t>
      </w:r>
      <w:r w:rsidR="000A4EB1" w:rsidRPr="0042644E">
        <w:rPr>
          <w:rFonts w:ascii="Times New Roman" w:hAnsi="Times New Roman" w:cs="Times New Roman"/>
          <w:sz w:val="28"/>
          <w:szCs w:val="28"/>
        </w:rPr>
        <w:t xml:space="preserve"> с целью сокращения вероятности наступления комплаенс-рисков и недопущения нарушений антимонопольного законодательства</w:t>
      </w:r>
      <w:r w:rsidR="003D1DF2" w:rsidRPr="0042644E">
        <w:rPr>
          <w:rFonts w:ascii="Times New Roman" w:hAnsi="Times New Roman" w:cs="Times New Roman"/>
          <w:sz w:val="28"/>
          <w:szCs w:val="28"/>
        </w:rPr>
        <w:t xml:space="preserve"> сотрудниками контрактной службы</w:t>
      </w:r>
      <w:r w:rsidR="000A4EB1" w:rsidRPr="0042644E">
        <w:rPr>
          <w:rFonts w:ascii="Times New Roman" w:hAnsi="Times New Roman" w:cs="Times New Roman"/>
          <w:sz w:val="28"/>
          <w:szCs w:val="28"/>
        </w:rPr>
        <w:t xml:space="preserve"> (исп. Контрактная служба)</w:t>
      </w:r>
      <w:r w:rsidRPr="0042644E">
        <w:rPr>
          <w:rFonts w:ascii="Times New Roman" w:hAnsi="Times New Roman" w:cs="Times New Roman"/>
          <w:sz w:val="28"/>
          <w:szCs w:val="28"/>
        </w:rPr>
        <w:t>;</w:t>
      </w:r>
    </w:p>
    <w:p w14:paraId="02BE3F17" w14:textId="73935E84" w:rsidR="00033B9E" w:rsidRDefault="00033B9E" w:rsidP="008B428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44E">
        <w:rPr>
          <w:rFonts w:ascii="Times New Roman" w:hAnsi="Times New Roman" w:cs="Times New Roman"/>
          <w:sz w:val="28"/>
          <w:szCs w:val="28"/>
        </w:rPr>
        <w:lastRenderedPageBreak/>
        <w:t>контроль за соблюдением сроков с использованием системы электронного документооборота</w:t>
      </w:r>
      <w:r w:rsidR="000A4EB1" w:rsidRPr="0042644E">
        <w:rPr>
          <w:rFonts w:ascii="Times New Roman" w:hAnsi="Times New Roman" w:cs="Times New Roman"/>
          <w:sz w:val="28"/>
          <w:szCs w:val="28"/>
        </w:rPr>
        <w:t xml:space="preserve"> </w:t>
      </w:r>
      <w:r w:rsidR="00380DC0" w:rsidRPr="0042644E">
        <w:rPr>
          <w:rFonts w:ascii="Times New Roman" w:hAnsi="Times New Roman" w:cs="Times New Roman"/>
          <w:sz w:val="28"/>
          <w:szCs w:val="28"/>
        </w:rPr>
        <w:t xml:space="preserve">с целью сокращения вероятности наступления комплаенс-рисков и недопущения нарушений антимонопольного законодательства </w:t>
      </w:r>
      <w:r w:rsidR="000A4EB1" w:rsidRPr="0042644E">
        <w:rPr>
          <w:rFonts w:ascii="Times New Roman" w:hAnsi="Times New Roman" w:cs="Times New Roman"/>
          <w:sz w:val="28"/>
          <w:szCs w:val="28"/>
        </w:rPr>
        <w:t>(исп. Руководители филиалов, обособленных подразделений</w:t>
      </w:r>
      <w:r w:rsidR="000A4EB1">
        <w:rPr>
          <w:rFonts w:ascii="Times New Roman" w:hAnsi="Times New Roman" w:cs="Times New Roman"/>
          <w:sz w:val="28"/>
          <w:szCs w:val="28"/>
        </w:rPr>
        <w:t>, структурных подразделений Учреждения в рамках своих полномочий)</w:t>
      </w:r>
      <w:r w:rsidRPr="006A3112">
        <w:rPr>
          <w:rFonts w:ascii="Times New Roman" w:hAnsi="Times New Roman" w:cs="Times New Roman"/>
          <w:sz w:val="28"/>
          <w:szCs w:val="28"/>
        </w:rPr>
        <w:t>;</w:t>
      </w:r>
    </w:p>
    <w:p w14:paraId="779DD281" w14:textId="0FFC3ABB" w:rsidR="0042644E" w:rsidRPr="006A3112" w:rsidRDefault="008B4286" w:rsidP="008B4286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</w:t>
      </w:r>
      <w:r w:rsidR="0042644E" w:rsidRPr="0042644E">
        <w:rPr>
          <w:rFonts w:ascii="Times New Roman" w:hAnsi="Times New Roman" w:cs="Times New Roman"/>
          <w:sz w:val="28"/>
          <w:szCs w:val="28"/>
        </w:rPr>
        <w:t>ализ причин и последствий выявляемых нарушений, поиск и оценка способов юридического противодействия нарушениям</w:t>
      </w:r>
      <w:r w:rsidR="0042644E">
        <w:rPr>
          <w:rFonts w:ascii="Times New Roman" w:hAnsi="Times New Roman" w:cs="Times New Roman"/>
          <w:sz w:val="28"/>
          <w:szCs w:val="28"/>
        </w:rPr>
        <w:t xml:space="preserve"> (исп. Юридический отдел)</w:t>
      </w:r>
      <w:r w:rsidR="0042644E" w:rsidRPr="006A3112">
        <w:rPr>
          <w:rFonts w:ascii="Times New Roman" w:hAnsi="Times New Roman" w:cs="Times New Roman"/>
          <w:sz w:val="28"/>
          <w:szCs w:val="28"/>
        </w:rPr>
        <w:t>;</w:t>
      </w:r>
    </w:p>
    <w:p w14:paraId="70973F2D" w14:textId="7763321C" w:rsidR="00E632EA" w:rsidRPr="006A3112" w:rsidRDefault="00E632EA" w:rsidP="00D45C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 xml:space="preserve">По результатам анализа нарушений </w:t>
      </w:r>
      <w:r w:rsidR="0038626B" w:rsidRPr="006A3112">
        <w:rPr>
          <w:rFonts w:ascii="Times New Roman" w:hAnsi="Times New Roman" w:cs="Times New Roman"/>
          <w:sz w:val="28"/>
          <w:szCs w:val="28"/>
        </w:rPr>
        <w:t>антимоноп</w:t>
      </w:r>
      <w:r w:rsidR="00C1389F">
        <w:rPr>
          <w:rFonts w:ascii="Times New Roman" w:hAnsi="Times New Roman" w:cs="Times New Roman"/>
          <w:sz w:val="28"/>
          <w:szCs w:val="28"/>
        </w:rPr>
        <w:t>ольного законодательства за 202</w:t>
      </w:r>
      <w:r w:rsidR="005B2E3A">
        <w:rPr>
          <w:rFonts w:ascii="Times New Roman" w:hAnsi="Times New Roman" w:cs="Times New Roman"/>
          <w:sz w:val="28"/>
          <w:szCs w:val="28"/>
        </w:rPr>
        <w:t>5</w:t>
      </w:r>
      <w:r w:rsidR="0038626B" w:rsidRPr="006A3112">
        <w:rPr>
          <w:rFonts w:ascii="Times New Roman" w:hAnsi="Times New Roman" w:cs="Times New Roman"/>
          <w:sz w:val="28"/>
          <w:szCs w:val="28"/>
        </w:rPr>
        <w:t>г. выявлены следующие нарушения антимонопольного законодательства:</w:t>
      </w:r>
    </w:p>
    <w:p w14:paraId="033B56F2" w14:textId="065264B3" w:rsidR="00312278" w:rsidRPr="00DB4E4B" w:rsidRDefault="00C20518" w:rsidP="00D45C53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12278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 отчетный период 202</w:t>
      </w:r>
      <w:r w:rsidR="005B2E3A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12278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в адрес </w:t>
      </w:r>
      <w:r w:rsidR="00545B03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УФАС России по Красноярскому краю</w:t>
      </w:r>
      <w:r w:rsidR="00312278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12278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жалоб</w:t>
      </w:r>
      <w:r w:rsidR="00615A19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312278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E8F3C63" w14:textId="2C26666B" w:rsidR="007F1CFB" w:rsidRPr="00DB4E4B" w:rsidRDefault="00C20518" w:rsidP="007F1CF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12278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ООО «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РЕМЕДИКА</w:t>
      </w:r>
      <w:r w:rsidR="00312278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D187C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FD187C" w:rsidRPr="00DB4E4B">
        <w:rPr>
          <w:rFonts w:ascii="Times New Roman" w:hAnsi="Times New Roman"/>
          <w:color w:val="000000" w:themeColor="text1"/>
          <w:sz w:val="28"/>
          <w:szCs w:val="28"/>
        </w:rPr>
        <w:t>Электронный аукцион «</w:t>
      </w:r>
      <w:r w:rsidR="00DB4E4B" w:rsidRPr="00DB4E4B">
        <w:rPr>
          <w:rFonts w:ascii="Times New Roman" w:hAnsi="Times New Roman"/>
          <w:color w:val="000000" w:themeColor="text1"/>
          <w:sz w:val="28"/>
          <w:szCs w:val="28"/>
        </w:rPr>
        <w:t>147.25</w:t>
      </w:r>
      <w:r w:rsidR="00FD187C" w:rsidRPr="00DB4E4B">
        <w:rPr>
          <w:rFonts w:ascii="Times New Roman" w:hAnsi="Times New Roman"/>
          <w:color w:val="000000" w:themeColor="text1"/>
          <w:sz w:val="28"/>
          <w:szCs w:val="28"/>
        </w:rPr>
        <w:t xml:space="preserve"> Поставка </w:t>
      </w:r>
      <w:r w:rsidR="00DB4E4B" w:rsidRPr="00DB4E4B">
        <w:rPr>
          <w:rFonts w:ascii="Times New Roman" w:hAnsi="Times New Roman"/>
          <w:color w:val="000000" w:themeColor="text1"/>
          <w:sz w:val="28"/>
          <w:szCs w:val="28"/>
        </w:rPr>
        <w:t>лекарственных препаратов</w:t>
      </w:r>
      <w:r w:rsidR="00FD187C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», размещенный на электронной площадке ООО «РТС-тендер», номер извещения 031910002332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5000016</w:t>
      </w:r>
      <w:r w:rsidR="00FD187C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545B03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187C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</w:t>
      </w:r>
      <w:r w:rsidR="00545B03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алоба признана необоснованной;</w:t>
      </w:r>
    </w:p>
    <w:p w14:paraId="056FE623" w14:textId="533A6B09" w:rsidR="007F1CFB" w:rsidRDefault="00C20518" w:rsidP="00DB4E4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1CF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C6D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 </w:t>
      </w:r>
      <w:proofErr w:type="spellStart"/>
      <w:r w:rsidR="001C6D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Бикмеев</w:t>
      </w:r>
      <w:proofErr w:type="spellEnd"/>
      <w:r w:rsidR="001C6D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И.Р.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DB4E4B" w:rsidRPr="00DB4E4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6DE7">
        <w:rPr>
          <w:rFonts w:ascii="Times New Roman" w:hAnsi="Times New Roman"/>
          <w:color w:val="000000" w:themeColor="text1"/>
          <w:sz w:val="28"/>
          <w:szCs w:val="28"/>
        </w:rPr>
        <w:t>Поставка, демонтаж и монтаж кондиционера в здании ИВМ СО РАН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1C6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ЕАТ, №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DE7">
        <w:rPr>
          <w:rFonts w:ascii="Times New Roman" w:hAnsi="Times New Roman" w:cs="Times New Roman"/>
          <w:color w:val="000000" w:themeColor="text1"/>
          <w:sz w:val="28"/>
          <w:szCs w:val="28"/>
        </w:rPr>
        <w:t>100919986125100018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Жалоба признана необоснованной</w:t>
      </w:r>
      <w:r w:rsid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291975" w14:textId="302540A5" w:rsidR="001C6DE7" w:rsidRDefault="001C6DE7" w:rsidP="00DB4E4B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ООО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БРАНД-Сервис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Pr="00DB4E4B">
        <w:rPr>
          <w:rFonts w:ascii="Times New Roman" w:hAnsi="Times New Roman"/>
          <w:color w:val="000000" w:themeColor="text1"/>
          <w:sz w:val="28"/>
          <w:szCs w:val="28"/>
        </w:rPr>
        <w:t>Электронный аукцион «</w:t>
      </w:r>
      <w:r>
        <w:rPr>
          <w:rFonts w:ascii="Times New Roman" w:hAnsi="Times New Roman"/>
          <w:color w:val="000000" w:themeColor="text1"/>
          <w:sz w:val="28"/>
          <w:szCs w:val="28"/>
        </w:rPr>
        <w:t>Выполнение работ по монтажу системы автоматической пожарной сигнализации и системы оповещения и управления эвакуацией людей при пожаре (АУПС и СОУЭ)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номер извещения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32514923754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Жалоба признана необоснованной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B328458" w14:textId="19CFA1F5" w:rsidR="001C6DE7" w:rsidRDefault="001C6DE7" w:rsidP="001C6DE7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АО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Назаровоагроснаб</w:t>
      </w:r>
      <w:proofErr w:type="spellEnd"/>
      <w:r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Pr="00DB4E4B">
        <w:rPr>
          <w:rFonts w:ascii="Times New Roman" w:hAnsi="Times New Roman"/>
          <w:color w:val="000000" w:themeColor="text1"/>
          <w:sz w:val="28"/>
          <w:szCs w:val="28"/>
        </w:rPr>
        <w:t>Электронный аукцион «</w:t>
      </w:r>
      <w:r>
        <w:rPr>
          <w:rFonts w:ascii="Times New Roman" w:hAnsi="Times New Roman"/>
          <w:color w:val="000000" w:themeColor="text1"/>
          <w:sz w:val="28"/>
          <w:szCs w:val="28"/>
        </w:rPr>
        <w:t>Оказание услуг финансовой аренды (лизинга) сельскохозяйственной техники с переходом права собственности лизингополучателю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номер извещения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32514988556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Жалоба признана необоснованной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CBF80D7" w14:textId="2267B068" w:rsidR="00113190" w:rsidRPr="007F1CFB" w:rsidRDefault="00C20518" w:rsidP="001B48BC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CF7336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C6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202</w:t>
      </w:r>
      <w:r w:rsidR="005B2E3A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80BC6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</w:t>
      </w:r>
      <w:r w:rsidR="00113190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113190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13190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(специалист по закупкам Рябченко Е.С.) было</w:t>
      </w:r>
      <w:r w:rsidR="007F1CF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91E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привле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чено</w:t>
      </w:r>
      <w:r w:rsidR="003B191E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0BC6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административной ответственности в части нарушения требований законодательства в сфере закупок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(ч.5 ст.7.30.1 КоАП РФ)</w:t>
      </w:r>
      <w:r w:rsidR="00113190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048893D" w14:textId="551BCD4A" w:rsidR="007C7307" w:rsidRPr="006A3112" w:rsidRDefault="00BD4B9E" w:rsidP="004C006A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331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315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2F2851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2F2851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5FCD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C7515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ечение </w:t>
      </w:r>
      <w:r w:rsidR="002F2851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B2E3A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F2851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г. на официальном сайте Учреждения</w:t>
      </w:r>
      <w:r w:rsidR="007C7307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</w:t>
      </w:r>
      <w:r w:rsidR="001C7515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 w:rsidR="001E5FCD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C7515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сь актуальн</w:t>
      </w:r>
      <w:r w:rsidR="001E5FCD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>ые новости в сфере противодействия коррупции (региональные, федеральные)</w:t>
      </w:r>
      <w:r w:rsidR="001E5F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7515" w:rsidRPr="001E5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189A44" w14:textId="77777777" w:rsidR="007C7307" w:rsidRPr="006A3112" w:rsidRDefault="007C7307" w:rsidP="007C730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 xml:space="preserve">Нормативные правовые акты, в которых </w:t>
      </w:r>
      <w:r w:rsidR="00452B4C" w:rsidRPr="006A3112">
        <w:rPr>
          <w:rFonts w:ascii="Times New Roman" w:hAnsi="Times New Roman" w:cs="Times New Roman"/>
          <w:sz w:val="28"/>
          <w:szCs w:val="28"/>
        </w:rPr>
        <w:t xml:space="preserve">Красноярским </w:t>
      </w:r>
      <w:r w:rsidRPr="006A3112">
        <w:rPr>
          <w:rFonts w:ascii="Times New Roman" w:hAnsi="Times New Roman" w:cs="Times New Roman"/>
          <w:sz w:val="28"/>
          <w:szCs w:val="28"/>
        </w:rPr>
        <w:t>УФАС выявлены нарушения антимонопольного законодательства в отчетный период, в Учреждении отсутствуют.</w:t>
      </w:r>
    </w:p>
    <w:p w14:paraId="5EE2DB7F" w14:textId="77777777" w:rsidR="007C7307" w:rsidRPr="006A3112" w:rsidRDefault="007C7307" w:rsidP="007C730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 Учреждением антимонопольного законодательства показал, что в нормативных правовых актах, подготовленных Учреждением, факты нарушения антимонопольного законодательства отсутствуют, в связи с чем необходимость внесения изменений в действующие нормативные правовые акты также отсутствует. Кроме того, по итогам проведенного анализа проектов нормативных правовых актов Учреждением сделан вывод об их соответствии антимонопольному законодательству.</w:t>
      </w:r>
    </w:p>
    <w:p w14:paraId="400B8B33" w14:textId="5AA65785" w:rsidR="00372D50" w:rsidRPr="006A3112" w:rsidRDefault="001B48BC" w:rsidP="00EE2FF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3</w:t>
      </w:r>
      <w:r w:rsidR="00BD4B9E">
        <w:rPr>
          <w:rFonts w:ascii="Times New Roman" w:hAnsi="Times New Roman" w:cs="Times New Roman"/>
          <w:sz w:val="28"/>
          <w:szCs w:val="28"/>
        </w:rPr>
        <w:t>.</w:t>
      </w:r>
      <w:r w:rsidR="00BD4B9E">
        <w:rPr>
          <w:rFonts w:ascii="Times New Roman" w:hAnsi="Times New Roman" w:cs="Times New Roman"/>
          <w:sz w:val="28"/>
          <w:szCs w:val="28"/>
        </w:rPr>
        <w:tab/>
      </w:r>
      <w:r w:rsidR="00A12BB5" w:rsidRPr="006A3112">
        <w:rPr>
          <w:rFonts w:ascii="Times New Roman" w:hAnsi="Times New Roman" w:cs="Times New Roman"/>
          <w:sz w:val="28"/>
          <w:szCs w:val="28"/>
        </w:rPr>
        <w:t>Достижение ключевых показателей эффективности антимонопольного комплаенса</w:t>
      </w:r>
      <w:r w:rsidR="008B6911" w:rsidRPr="006A3112">
        <w:rPr>
          <w:rFonts w:ascii="Times New Roman" w:hAnsi="Times New Roman" w:cs="Times New Roman"/>
          <w:sz w:val="28"/>
          <w:szCs w:val="28"/>
        </w:rPr>
        <w:t>.</w:t>
      </w:r>
      <w:r w:rsidR="00A12BB5" w:rsidRPr="006A3112">
        <w:rPr>
          <w:rFonts w:ascii="Times New Roman" w:hAnsi="Times New Roman" w:cs="Times New Roman"/>
          <w:sz w:val="28"/>
          <w:szCs w:val="28"/>
        </w:rPr>
        <w:t xml:space="preserve"> Комиссией рассчитаны ключевые показатели, характеризующие эффективность функционирования антимонопольного комплаенса в </w:t>
      </w:r>
      <w:r w:rsidR="00372D50" w:rsidRPr="006A3112">
        <w:rPr>
          <w:rFonts w:ascii="Times New Roman" w:hAnsi="Times New Roman" w:cs="Times New Roman"/>
          <w:sz w:val="28"/>
          <w:szCs w:val="28"/>
        </w:rPr>
        <w:t>Учреждении</w:t>
      </w:r>
      <w:r w:rsidR="00A12BB5" w:rsidRPr="006A3112">
        <w:rPr>
          <w:rFonts w:ascii="Times New Roman" w:hAnsi="Times New Roman" w:cs="Times New Roman"/>
          <w:sz w:val="28"/>
          <w:szCs w:val="28"/>
        </w:rPr>
        <w:t>:</w:t>
      </w:r>
    </w:p>
    <w:p w14:paraId="5163D892" w14:textId="555D81AE" w:rsidR="00B67035" w:rsidRPr="00452B4C" w:rsidRDefault="00B67035" w:rsidP="00B67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B4C">
        <w:rPr>
          <w:rFonts w:ascii="Times New Roman" w:hAnsi="Times New Roman" w:cs="Times New Roman"/>
          <w:sz w:val="28"/>
          <w:szCs w:val="28"/>
        </w:rPr>
        <w:lastRenderedPageBreak/>
        <w:t>Значения ключевых показателей эффективности антимонопольного комплаенса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B2E3A">
        <w:rPr>
          <w:rFonts w:ascii="Times New Roman" w:hAnsi="Times New Roman" w:cs="Times New Roman"/>
          <w:sz w:val="28"/>
          <w:szCs w:val="28"/>
        </w:rPr>
        <w:t>5</w:t>
      </w:r>
      <w:r w:rsidRPr="00452B4C">
        <w:rPr>
          <w:rFonts w:ascii="Times New Roman" w:hAnsi="Times New Roman" w:cs="Times New Roman"/>
          <w:sz w:val="28"/>
          <w:szCs w:val="28"/>
        </w:rPr>
        <w:t xml:space="preserve"> год составили: </w:t>
      </w:r>
    </w:p>
    <w:p w14:paraId="7E783A38" w14:textId="4C20FD25" w:rsidR="00B67035" w:rsidRPr="00DB4E4B" w:rsidRDefault="00B67035" w:rsidP="00B67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факты выдачи Учреждению предупреждения и (или) решения (предписания) по результатам рассмотрения дела о нарушении антимонопольного законодательства </w:t>
      </w:r>
      <w:r w:rsidR="00651ED0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C3C04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79E2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4E4B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баллов); </w:t>
      </w:r>
    </w:p>
    <w:p w14:paraId="655E66BC" w14:textId="33F5EECF" w:rsidR="00B67035" w:rsidRPr="00DB4E4B" w:rsidRDefault="00B67035" w:rsidP="00B67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жалобы на решения, действия (бездействие) Учреждения или его должностных лиц и ведущие к ограничению конкуренции, и поданные в </w:t>
      </w:r>
      <w:r w:rsidR="00BB79E2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контролирующие 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органы, в случае принятия решения об удовлетворении указанных жалоб в установленном законом порядке – </w:t>
      </w:r>
      <w:r w:rsidR="00F22D87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11715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22D87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A3AE7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баллов);</w:t>
      </w:r>
    </w:p>
    <w:p w14:paraId="719825D1" w14:textId="0F923A4E" w:rsidR="00B67035" w:rsidRPr="00DB4E4B" w:rsidRDefault="00B67035" w:rsidP="00B67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выполнение мероприятий «дорожной карты» по снижению комплаенс-рисков – мероприятия </w:t>
      </w:r>
      <w:r w:rsidR="00D7471C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</w:t>
      </w:r>
      <w:r w:rsidR="00AA3AE7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частично</w:t>
      </w:r>
      <w:r w:rsidR="008F4DEA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Учреждении </w:t>
      </w:r>
      <w:r w:rsidR="00DE733E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отчетного года проводились мониторинг и анализ практики применения антимонопольного законодательства, контроль за соблюдением требований законодательства в сфере закупок, контроль за соблюдением заключения договоров с использованием системы электронного документооборота, а </w:t>
      </w:r>
      <w:r w:rsidR="00420AC7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DE733E"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сроков их заключения в системе электронного документооборота, контроль за соблюдением сроков с использованием системы электронного документооборота – (15 баллов)</w:t>
      </w:r>
      <w:r w:rsidRPr="00DB4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45D8274" w14:textId="3C66FF5E" w:rsidR="008F6F95" w:rsidRPr="00275C38" w:rsidRDefault="008F6F95" w:rsidP="00B67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4) выявленные нарушения требований антимонопольного законодательства в локальных актах Учреждения, принятых в 202</w:t>
      </w:r>
      <w:r w:rsidR="00DB4E4B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– 0 (20 баллов); </w:t>
      </w:r>
    </w:p>
    <w:p w14:paraId="2B20D1B4" w14:textId="4AA16B94" w:rsidR="00B67035" w:rsidRPr="00275C38" w:rsidRDefault="008F6F95" w:rsidP="00B67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67035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) обучение сотрудников Учреждения антимонопольному комплаенсу</w:t>
      </w:r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(требованиям антимонопольного законодательства)</w:t>
      </w:r>
      <w:r w:rsidR="00B67035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1E5FCD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74B9C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 баллов)</w:t>
      </w:r>
      <w:r w:rsidR="00B67035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519A7F4" w14:textId="7654706C" w:rsidR="00B67035" w:rsidRPr="00275C38" w:rsidRDefault="00B67035" w:rsidP="00B6703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 значение итогового показателя за отчетный период составил </w:t>
      </w:r>
      <w:r w:rsidR="001E5FCD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</w:t>
      </w:r>
      <w:r w:rsidR="00DF6946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ов,</w:t>
      </w:r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является </w:t>
      </w:r>
      <w:r w:rsidR="001E5FCD"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>средней</w:t>
      </w:r>
      <w:r w:rsidRPr="00275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эффективностью антимонопольного комплаенса в Учреждении.</w:t>
      </w:r>
    </w:p>
    <w:bookmarkEnd w:id="0"/>
    <w:p w14:paraId="225269E4" w14:textId="77777777" w:rsidR="00A12BB5" w:rsidRDefault="00A12BB5" w:rsidP="00DB226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1D1DE4EE" w14:textId="77777777" w:rsidR="00DB226C" w:rsidRDefault="00DB226C" w:rsidP="00C710E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  <w:sectPr w:rsidR="00DB226C" w:rsidSect="00DD2976">
          <w:headerReference w:type="default" r:id="rId7"/>
          <w:pgSz w:w="11906" w:h="16838"/>
          <w:pgMar w:top="709" w:right="850" w:bottom="1134" w:left="993" w:header="708" w:footer="708" w:gutter="0"/>
          <w:cols w:space="708"/>
          <w:titlePg/>
          <w:docGrid w:linePitch="360"/>
        </w:sectPr>
      </w:pPr>
    </w:p>
    <w:p w14:paraId="1240EE05" w14:textId="77777777" w:rsidR="00EE0B00" w:rsidRPr="006A3112" w:rsidRDefault="00EE0B00" w:rsidP="006D090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112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</w:p>
    <w:p w14:paraId="5FF7E3D2" w14:textId="60198EA2" w:rsidR="00035916" w:rsidRPr="006A3112" w:rsidRDefault="00EE0B00" w:rsidP="006D090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В 202</w:t>
      </w:r>
      <w:r w:rsidR="005B2E3A">
        <w:rPr>
          <w:rFonts w:ascii="Times New Roman" w:hAnsi="Times New Roman" w:cs="Times New Roman"/>
          <w:sz w:val="28"/>
          <w:szCs w:val="28"/>
        </w:rPr>
        <w:t>5</w:t>
      </w:r>
      <w:r w:rsidRPr="006A311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6403A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92065E">
        <w:rPr>
          <w:rFonts w:ascii="Times New Roman" w:hAnsi="Times New Roman" w:cs="Times New Roman"/>
          <w:sz w:val="28"/>
          <w:szCs w:val="28"/>
        </w:rPr>
        <w:t xml:space="preserve">продолжена </w:t>
      </w:r>
      <w:r w:rsidR="00B6403A">
        <w:rPr>
          <w:rFonts w:ascii="Times New Roman" w:hAnsi="Times New Roman" w:cs="Times New Roman"/>
          <w:sz w:val="28"/>
          <w:szCs w:val="28"/>
        </w:rPr>
        <w:t>проводи</w:t>
      </w:r>
      <w:r w:rsidR="00C07BB1">
        <w:rPr>
          <w:rFonts w:ascii="Times New Roman" w:hAnsi="Times New Roman" w:cs="Times New Roman"/>
          <w:sz w:val="28"/>
          <w:szCs w:val="28"/>
        </w:rPr>
        <w:t>т</w:t>
      </w:r>
      <w:r w:rsidR="0092065E">
        <w:rPr>
          <w:rFonts w:ascii="Times New Roman" w:hAnsi="Times New Roman" w:cs="Times New Roman"/>
          <w:sz w:val="28"/>
          <w:szCs w:val="28"/>
        </w:rPr>
        <w:t>ь</w:t>
      </w:r>
      <w:r w:rsidR="00C07BB1">
        <w:rPr>
          <w:rFonts w:ascii="Times New Roman" w:hAnsi="Times New Roman" w:cs="Times New Roman"/>
          <w:sz w:val="28"/>
          <w:szCs w:val="28"/>
        </w:rPr>
        <w:t>ся</w:t>
      </w:r>
      <w:r w:rsidR="00B6403A">
        <w:rPr>
          <w:rFonts w:ascii="Times New Roman" w:hAnsi="Times New Roman" w:cs="Times New Roman"/>
          <w:sz w:val="28"/>
          <w:szCs w:val="28"/>
        </w:rPr>
        <w:t xml:space="preserve"> работа по совершенствованию</w:t>
      </w:r>
      <w:r w:rsidRPr="006A3112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6403A">
        <w:rPr>
          <w:rFonts w:ascii="Times New Roman" w:hAnsi="Times New Roman" w:cs="Times New Roman"/>
          <w:sz w:val="28"/>
          <w:szCs w:val="28"/>
        </w:rPr>
        <w:t>ы</w:t>
      </w:r>
      <w:r w:rsidRPr="006A3112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 (антимонопольный комплаенс), позволяющая реализовывать мероприятия по снижению рисков нарушения </w:t>
      </w:r>
      <w:r w:rsidR="00035916" w:rsidRPr="006A3112">
        <w:rPr>
          <w:rFonts w:ascii="Times New Roman" w:hAnsi="Times New Roman" w:cs="Times New Roman"/>
          <w:sz w:val="28"/>
          <w:szCs w:val="28"/>
        </w:rPr>
        <w:t>ФИЦ КНЦ СО РАН</w:t>
      </w:r>
      <w:r w:rsidRPr="006A3112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654462">
        <w:rPr>
          <w:rFonts w:ascii="Times New Roman" w:hAnsi="Times New Roman" w:cs="Times New Roman"/>
          <w:sz w:val="28"/>
          <w:szCs w:val="28"/>
        </w:rPr>
        <w:t xml:space="preserve">, проводилась работа по соответствию документации о закупках требованиям </w:t>
      </w:r>
      <w:proofErr w:type="spellStart"/>
      <w:r w:rsidR="00654462">
        <w:rPr>
          <w:rFonts w:ascii="Times New Roman" w:hAnsi="Times New Roman" w:cs="Times New Roman"/>
          <w:sz w:val="28"/>
          <w:szCs w:val="28"/>
        </w:rPr>
        <w:t>антимопольного</w:t>
      </w:r>
      <w:proofErr w:type="spellEnd"/>
      <w:r w:rsidR="00654462">
        <w:rPr>
          <w:rFonts w:ascii="Times New Roman" w:hAnsi="Times New Roman" w:cs="Times New Roman"/>
          <w:sz w:val="28"/>
          <w:szCs w:val="28"/>
        </w:rPr>
        <w:t xml:space="preserve"> комплаенса, проводилась на постоянной основе</w:t>
      </w:r>
      <w:r w:rsidR="00654462" w:rsidRPr="00654462">
        <w:t xml:space="preserve"> </w:t>
      </w:r>
      <w:r w:rsidR="00654462" w:rsidRPr="00654462">
        <w:rPr>
          <w:rFonts w:ascii="Times New Roman" w:hAnsi="Times New Roman" w:cs="Times New Roman"/>
          <w:sz w:val="28"/>
          <w:szCs w:val="28"/>
        </w:rPr>
        <w:t>правов</w:t>
      </w:r>
      <w:r w:rsidR="00654462">
        <w:rPr>
          <w:rFonts w:ascii="Times New Roman" w:hAnsi="Times New Roman" w:cs="Times New Roman"/>
          <w:sz w:val="28"/>
          <w:szCs w:val="28"/>
        </w:rPr>
        <w:t>ая</w:t>
      </w:r>
      <w:r w:rsidR="00654462" w:rsidRPr="00654462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654462">
        <w:rPr>
          <w:rFonts w:ascii="Times New Roman" w:hAnsi="Times New Roman" w:cs="Times New Roman"/>
          <w:sz w:val="28"/>
          <w:szCs w:val="28"/>
        </w:rPr>
        <w:t>а</w:t>
      </w:r>
      <w:r w:rsidR="00654462" w:rsidRPr="00654462">
        <w:rPr>
          <w:rFonts w:ascii="Times New Roman" w:hAnsi="Times New Roman" w:cs="Times New Roman"/>
          <w:sz w:val="28"/>
          <w:szCs w:val="28"/>
        </w:rPr>
        <w:t xml:space="preserve"> издаваемых Учреждением документов</w:t>
      </w:r>
      <w:r w:rsidR="00F653C6">
        <w:rPr>
          <w:rFonts w:ascii="Times New Roman" w:hAnsi="Times New Roman" w:cs="Times New Roman"/>
          <w:sz w:val="28"/>
          <w:szCs w:val="28"/>
        </w:rPr>
        <w:t xml:space="preserve"> в целях выявления, устранения и недопущения </w:t>
      </w:r>
      <w:proofErr w:type="spellStart"/>
      <w:r w:rsidR="00F653C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F653C6">
        <w:rPr>
          <w:rFonts w:ascii="Times New Roman" w:hAnsi="Times New Roman" w:cs="Times New Roman"/>
          <w:sz w:val="28"/>
          <w:szCs w:val="28"/>
        </w:rPr>
        <w:t xml:space="preserve"> </w:t>
      </w:r>
      <w:r w:rsidR="00EE2FF2">
        <w:rPr>
          <w:rFonts w:ascii="Times New Roman" w:hAnsi="Times New Roman" w:cs="Times New Roman"/>
          <w:sz w:val="28"/>
          <w:szCs w:val="28"/>
        </w:rPr>
        <w:t>факторов</w:t>
      </w:r>
      <w:r w:rsidR="00F653C6">
        <w:rPr>
          <w:rFonts w:ascii="Times New Roman" w:hAnsi="Times New Roman" w:cs="Times New Roman"/>
          <w:sz w:val="28"/>
          <w:szCs w:val="28"/>
        </w:rPr>
        <w:t>.</w:t>
      </w:r>
      <w:r w:rsidRPr="00654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BDD5C" w14:textId="19236F25" w:rsidR="00991633" w:rsidRPr="006A3112" w:rsidRDefault="00EE0B00" w:rsidP="001B765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112">
        <w:rPr>
          <w:rFonts w:ascii="Times New Roman" w:hAnsi="Times New Roman" w:cs="Times New Roman"/>
          <w:sz w:val="28"/>
          <w:szCs w:val="28"/>
        </w:rPr>
        <w:t>В 202</w:t>
      </w:r>
      <w:r w:rsidR="005B2E3A">
        <w:rPr>
          <w:rFonts w:ascii="Times New Roman" w:hAnsi="Times New Roman" w:cs="Times New Roman"/>
          <w:sz w:val="28"/>
          <w:szCs w:val="28"/>
        </w:rPr>
        <w:t>6</w:t>
      </w:r>
      <w:r w:rsidRPr="006A3112">
        <w:rPr>
          <w:rFonts w:ascii="Times New Roman" w:hAnsi="Times New Roman" w:cs="Times New Roman"/>
          <w:sz w:val="28"/>
          <w:szCs w:val="28"/>
        </w:rPr>
        <w:t xml:space="preserve"> году для профилактики и снижения рис</w:t>
      </w:r>
      <w:r w:rsidR="00035916" w:rsidRPr="006A3112">
        <w:rPr>
          <w:rFonts w:ascii="Times New Roman" w:hAnsi="Times New Roman" w:cs="Times New Roman"/>
          <w:sz w:val="28"/>
          <w:szCs w:val="28"/>
        </w:rPr>
        <w:t>ков нарушения ФИЦ КНЦ СО РАН</w:t>
      </w:r>
      <w:r w:rsidRPr="006A3112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необходимо на постоянной основе </w:t>
      </w:r>
      <w:r w:rsidR="00B6403A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Pr="006A3112">
        <w:rPr>
          <w:rFonts w:ascii="Times New Roman" w:hAnsi="Times New Roman" w:cs="Times New Roman"/>
          <w:sz w:val="28"/>
          <w:szCs w:val="28"/>
        </w:rPr>
        <w:t>проводить мероприятия по усилению контроля за соответствием документаций о закупке требованиям антимонопольного законодательства,</w:t>
      </w:r>
      <w:r w:rsidR="001511AE">
        <w:rPr>
          <w:rFonts w:ascii="Times New Roman" w:hAnsi="Times New Roman" w:cs="Times New Roman"/>
          <w:sz w:val="28"/>
          <w:szCs w:val="28"/>
        </w:rPr>
        <w:t xml:space="preserve"> обучению сотрудников </w:t>
      </w:r>
      <w:r w:rsidR="00F653C6">
        <w:rPr>
          <w:rFonts w:ascii="Times New Roman" w:hAnsi="Times New Roman" w:cs="Times New Roman"/>
          <w:sz w:val="28"/>
          <w:szCs w:val="28"/>
        </w:rPr>
        <w:t>а</w:t>
      </w:r>
      <w:r w:rsidR="001511AE">
        <w:rPr>
          <w:rFonts w:ascii="Times New Roman" w:hAnsi="Times New Roman" w:cs="Times New Roman"/>
          <w:sz w:val="28"/>
          <w:szCs w:val="28"/>
        </w:rPr>
        <w:t>нтимонопольному комплаенсу</w:t>
      </w:r>
      <w:r w:rsidR="00DF6946">
        <w:rPr>
          <w:rFonts w:ascii="Times New Roman" w:hAnsi="Times New Roman" w:cs="Times New Roman"/>
          <w:sz w:val="28"/>
          <w:szCs w:val="28"/>
        </w:rPr>
        <w:t xml:space="preserve">, </w:t>
      </w:r>
      <w:r w:rsidR="00F653C6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DF6946">
        <w:rPr>
          <w:rFonts w:ascii="Times New Roman" w:hAnsi="Times New Roman" w:cs="Times New Roman"/>
          <w:sz w:val="28"/>
          <w:szCs w:val="28"/>
        </w:rPr>
        <w:t>осуществлять на постоянной основе</w:t>
      </w:r>
      <w:r w:rsidRPr="006A3112">
        <w:rPr>
          <w:rFonts w:ascii="Times New Roman" w:hAnsi="Times New Roman" w:cs="Times New Roman"/>
          <w:sz w:val="28"/>
          <w:szCs w:val="28"/>
        </w:rPr>
        <w:t xml:space="preserve"> правовую экспертизу издаваемых </w:t>
      </w:r>
      <w:r w:rsidR="00035916" w:rsidRPr="006A3112">
        <w:rPr>
          <w:rFonts w:ascii="Times New Roman" w:hAnsi="Times New Roman" w:cs="Times New Roman"/>
          <w:sz w:val="28"/>
          <w:szCs w:val="28"/>
        </w:rPr>
        <w:t>Учреждением</w:t>
      </w:r>
      <w:r w:rsidRPr="006A3112">
        <w:rPr>
          <w:rFonts w:ascii="Times New Roman" w:hAnsi="Times New Roman" w:cs="Times New Roman"/>
          <w:sz w:val="28"/>
          <w:szCs w:val="28"/>
        </w:rPr>
        <w:t xml:space="preserve"> </w:t>
      </w:r>
      <w:r w:rsidR="001511AE">
        <w:rPr>
          <w:rFonts w:ascii="Times New Roman" w:hAnsi="Times New Roman" w:cs="Times New Roman"/>
          <w:sz w:val="28"/>
          <w:szCs w:val="28"/>
        </w:rPr>
        <w:t>документов</w:t>
      </w:r>
      <w:r w:rsidRPr="006A3112">
        <w:rPr>
          <w:rFonts w:ascii="Times New Roman" w:hAnsi="Times New Roman" w:cs="Times New Roman"/>
          <w:sz w:val="28"/>
          <w:szCs w:val="28"/>
        </w:rPr>
        <w:t xml:space="preserve"> в целях выявления и устранения </w:t>
      </w:r>
      <w:proofErr w:type="spellStart"/>
      <w:r w:rsidRPr="006A3112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6A3112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3C41E6">
        <w:rPr>
          <w:rFonts w:ascii="Times New Roman" w:hAnsi="Times New Roman" w:cs="Times New Roman"/>
          <w:sz w:val="28"/>
          <w:szCs w:val="28"/>
        </w:rPr>
        <w:t>.</w:t>
      </w:r>
    </w:p>
    <w:sectPr w:rsidR="00991633" w:rsidRPr="006A3112" w:rsidSect="00DD2976">
      <w:pgSz w:w="11906" w:h="16838"/>
      <w:pgMar w:top="709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F9A29" w14:textId="77777777" w:rsidR="00C9097B" w:rsidRDefault="00C9097B" w:rsidP="00866854">
      <w:pPr>
        <w:spacing w:after="0" w:line="240" w:lineRule="auto"/>
      </w:pPr>
      <w:r>
        <w:separator/>
      </w:r>
    </w:p>
  </w:endnote>
  <w:endnote w:type="continuationSeparator" w:id="0">
    <w:p w14:paraId="4C32182F" w14:textId="77777777" w:rsidR="00C9097B" w:rsidRDefault="00C9097B" w:rsidP="0086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17764" w14:textId="77777777" w:rsidR="00C9097B" w:rsidRDefault="00C9097B" w:rsidP="00866854">
      <w:pPr>
        <w:spacing w:after="0" w:line="240" w:lineRule="auto"/>
      </w:pPr>
      <w:r>
        <w:separator/>
      </w:r>
    </w:p>
  </w:footnote>
  <w:footnote w:type="continuationSeparator" w:id="0">
    <w:p w14:paraId="5180929B" w14:textId="77777777" w:rsidR="00C9097B" w:rsidRDefault="00C9097B" w:rsidP="0086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1342"/>
      <w:docPartObj>
        <w:docPartGallery w:val="Page Numbers (Top of Page)"/>
        <w:docPartUnique/>
      </w:docPartObj>
    </w:sdtPr>
    <w:sdtEndPr/>
    <w:sdtContent>
      <w:p w14:paraId="2232DE76" w14:textId="6760C236" w:rsidR="00866854" w:rsidRDefault="008668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C38">
          <w:rPr>
            <w:noProof/>
          </w:rPr>
          <w:t>2</w:t>
        </w:r>
        <w:r>
          <w:fldChar w:fldCharType="end"/>
        </w:r>
      </w:p>
    </w:sdtContent>
  </w:sdt>
  <w:p w14:paraId="148D0CC4" w14:textId="77777777" w:rsidR="00866854" w:rsidRDefault="008668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6A33"/>
    <w:multiLevelType w:val="hybridMultilevel"/>
    <w:tmpl w:val="363C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3BBF"/>
    <w:multiLevelType w:val="hybridMultilevel"/>
    <w:tmpl w:val="B620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3585C"/>
    <w:multiLevelType w:val="hybridMultilevel"/>
    <w:tmpl w:val="DCEA9D1A"/>
    <w:lvl w:ilvl="0" w:tplc="4798F57A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0A6435"/>
    <w:multiLevelType w:val="hybridMultilevel"/>
    <w:tmpl w:val="AC7C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DC6"/>
    <w:multiLevelType w:val="hybridMultilevel"/>
    <w:tmpl w:val="55807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26BBD"/>
    <w:multiLevelType w:val="hybridMultilevel"/>
    <w:tmpl w:val="E9A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7D02"/>
    <w:multiLevelType w:val="hybridMultilevel"/>
    <w:tmpl w:val="9B14B48C"/>
    <w:lvl w:ilvl="0" w:tplc="72BE84B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33B9E"/>
    <w:rsid w:val="000351FF"/>
    <w:rsid w:val="00035916"/>
    <w:rsid w:val="00047E32"/>
    <w:rsid w:val="000737D0"/>
    <w:rsid w:val="0009012C"/>
    <w:rsid w:val="000A4EB1"/>
    <w:rsid w:val="000C749B"/>
    <w:rsid w:val="000D265D"/>
    <w:rsid w:val="000D3252"/>
    <w:rsid w:val="00113190"/>
    <w:rsid w:val="001316C4"/>
    <w:rsid w:val="00144EC8"/>
    <w:rsid w:val="001511AE"/>
    <w:rsid w:val="00166F9F"/>
    <w:rsid w:val="00173960"/>
    <w:rsid w:val="00196852"/>
    <w:rsid w:val="001A0A4B"/>
    <w:rsid w:val="001B335E"/>
    <w:rsid w:val="001B33AD"/>
    <w:rsid w:val="001B48BC"/>
    <w:rsid w:val="001B765D"/>
    <w:rsid w:val="001C6DE7"/>
    <w:rsid w:val="001C7515"/>
    <w:rsid w:val="001D7DAD"/>
    <w:rsid w:val="001E3138"/>
    <w:rsid w:val="001E442C"/>
    <w:rsid w:val="001E5FCD"/>
    <w:rsid w:val="001E669D"/>
    <w:rsid w:val="0020596D"/>
    <w:rsid w:val="00220894"/>
    <w:rsid w:val="00233BC4"/>
    <w:rsid w:val="002468DB"/>
    <w:rsid w:val="002628AE"/>
    <w:rsid w:val="0026451F"/>
    <w:rsid w:val="002723F4"/>
    <w:rsid w:val="00274885"/>
    <w:rsid w:val="00275C38"/>
    <w:rsid w:val="002B4F71"/>
    <w:rsid w:val="002B7F87"/>
    <w:rsid w:val="002D244F"/>
    <w:rsid w:val="002D3753"/>
    <w:rsid w:val="002D69A0"/>
    <w:rsid w:val="002E47FF"/>
    <w:rsid w:val="002F2851"/>
    <w:rsid w:val="00312278"/>
    <w:rsid w:val="003346E1"/>
    <w:rsid w:val="00342CF4"/>
    <w:rsid w:val="00353A65"/>
    <w:rsid w:val="00372D50"/>
    <w:rsid w:val="003769BD"/>
    <w:rsid w:val="00380DC0"/>
    <w:rsid w:val="0038626B"/>
    <w:rsid w:val="003B191E"/>
    <w:rsid w:val="003C41E6"/>
    <w:rsid w:val="003D1DF2"/>
    <w:rsid w:val="003E66D2"/>
    <w:rsid w:val="003F26D4"/>
    <w:rsid w:val="00404E13"/>
    <w:rsid w:val="00420AC7"/>
    <w:rsid w:val="0042644E"/>
    <w:rsid w:val="00433153"/>
    <w:rsid w:val="00433AF1"/>
    <w:rsid w:val="00452B4C"/>
    <w:rsid w:val="00466455"/>
    <w:rsid w:val="00474B9C"/>
    <w:rsid w:val="00493E07"/>
    <w:rsid w:val="004B258E"/>
    <w:rsid w:val="004B5319"/>
    <w:rsid w:val="004C006A"/>
    <w:rsid w:val="004C3C04"/>
    <w:rsid w:val="004C69DA"/>
    <w:rsid w:val="004C7A17"/>
    <w:rsid w:val="004D750D"/>
    <w:rsid w:val="004E43D0"/>
    <w:rsid w:val="004F564E"/>
    <w:rsid w:val="00505FFB"/>
    <w:rsid w:val="00533BE0"/>
    <w:rsid w:val="00545B03"/>
    <w:rsid w:val="005A0A7C"/>
    <w:rsid w:val="005A643D"/>
    <w:rsid w:val="005B1DD4"/>
    <w:rsid w:val="005B2E3A"/>
    <w:rsid w:val="005D0DA8"/>
    <w:rsid w:val="005D1183"/>
    <w:rsid w:val="005E1080"/>
    <w:rsid w:val="0060662D"/>
    <w:rsid w:val="00615A19"/>
    <w:rsid w:val="00641529"/>
    <w:rsid w:val="00651ED0"/>
    <w:rsid w:val="00654462"/>
    <w:rsid w:val="00654DCD"/>
    <w:rsid w:val="006757A3"/>
    <w:rsid w:val="00686599"/>
    <w:rsid w:val="00696C65"/>
    <w:rsid w:val="006A3112"/>
    <w:rsid w:val="006B7E1B"/>
    <w:rsid w:val="006C4D2C"/>
    <w:rsid w:val="006D00B6"/>
    <w:rsid w:val="006D0909"/>
    <w:rsid w:val="006D19BD"/>
    <w:rsid w:val="006D2286"/>
    <w:rsid w:val="006F7334"/>
    <w:rsid w:val="007150DD"/>
    <w:rsid w:val="00731258"/>
    <w:rsid w:val="007416E8"/>
    <w:rsid w:val="0075169A"/>
    <w:rsid w:val="0078167F"/>
    <w:rsid w:val="00782AC6"/>
    <w:rsid w:val="00794272"/>
    <w:rsid w:val="007977B9"/>
    <w:rsid w:val="007C1E54"/>
    <w:rsid w:val="007C2A05"/>
    <w:rsid w:val="007C7307"/>
    <w:rsid w:val="007F03C1"/>
    <w:rsid w:val="007F0850"/>
    <w:rsid w:val="007F1CFB"/>
    <w:rsid w:val="007F464C"/>
    <w:rsid w:val="00810087"/>
    <w:rsid w:val="00851B12"/>
    <w:rsid w:val="00866854"/>
    <w:rsid w:val="00874A3B"/>
    <w:rsid w:val="008A29E5"/>
    <w:rsid w:val="008B4286"/>
    <w:rsid w:val="008B6911"/>
    <w:rsid w:val="008F4DEA"/>
    <w:rsid w:val="008F6F95"/>
    <w:rsid w:val="0092065E"/>
    <w:rsid w:val="00931CE7"/>
    <w:rsid w:val="00954829"/>
    <w:rsid w:val="00961DFE"/>
    <w:rsid w:val="0097360D"/>
    <w:rsid w:val="0097775A"/>
    <w:rsid w:val="00977CE3"/>
    <w:rsid w:val="00991633"/>
    <w:rsid w:val="009C3C74"/>
    <w:rsid w:val="009D2AD4"/>
    <w:rsid w:val="009D49CC"/>
    <w:rsid w:val="009E4AA9"/>
    <w:rsid w:val="00A022A9"/>
    <w:rsid w:val="00A12BB5"/>
    <w:rsid w:val="00A30821"/>
    <w:rsid w:val="00A327D3"/>
    <w:rsid w:val="00A40D21"/>
    <w:rsid w:val="00A518E5"/>
    <w:rsid w:val="00A629A0"/>
    <w:rsid w:val="00A65A86"/>
    <w:rsid w:val="00A85259"/>
    <w:rsid w:val="00A9082F"/>
    <w:rsid w:val="00A94605"/>
    <w:rsid w:val="00AA3AE7"/>
    <w:rsid w:val="00AA6B7F"/>
    <w:rsid w:val="00AC4447"/>
    <w:rsid w:val="00AF4AAA"/>
    <w:rsid w:val="00B11715"/>
    <w:rsid w:val="00B30330"/>
    <w:rsid w:val="00B6403A"/>
    <w:rsid w:val="00B67035"/>
    <w:rsid w:val="00B80BC6"/>
    <w:rsid w:val="00B930B9"/>
    <w:rsid w:val="00BA3D2F"/>
    <w:rsid w:val="00BB79E2"/>
    <w:rsid w:val="00BD08EC"/>
    <w:rsid w:val="00BD4B9E"/>
    <w:rsid w:val="00C07BB1"/>
    <w:rsid w:val="00C1389F"/>
    <w:rsid w:val="00C20518"/>
    <w:rsid w:val="00C25370"/>
    <w:rsid w:val="00C308BA"/>
    <w:rsid w:val="00C54558"/>
    <w:rsid w:val="00C710E6"/>
    <w:rsid w:val="00C80609"/>
    <w:rsid w:val="00C9097B"/>
    <w:rsid w:val="00C91FE5"/>
    <w:rsid w:val="00CC3DDE"/>
    <w:rsid w:val="00CE63ED"/>
    <w:rsid w:val="00CF68D9"/>
    <w:rsid w:val="00CF7336"/>
    <w:rsid w:val="00D323B2"/>
    <w:rsid w:val="00D45C53"/>
    <w:rsid w:val="00D7471C"/>
    <w:rsid w:val="00D8540E"/>
    <w:rsid w:val="00DA1B78"/>
    <w:rsid w:val="00DB226C"/>
    <w:rsid w:val="00DB4E4B"/>
    <w:rsid w:val="00DB73CA"/>
    <w:rsid w:val="00DD2976"/>
    <w:rsid w:val="00DD4645"/>
    <w:rsid w:val="00DD5976"/>
    <w:rsid w:val="00DE733E"/>
    <w:rsid w:val="00DF4B03"/>
    <w:rsid w:val="00DF6946"/>
    <w:rsid w:val="00E13F59"/>
    <w:rsid w:val="00E256BE"/>
    <w:rsid w:val="00E51A01"/>
    <w:rsid w:val="00E5376A"/>
    <w:rsid w:val="00E632EA"/>
    <w:rsid w:val="00E64D17"/>
    <w:rsid w:val="00E71918"/>
    <w:rsid w:val="00E80F9D"/>
    <w:rsid w:val="00E97D6C"/>
    <w:rsid w:val="00EA2C35"/>
    <w:rsid w:val="00EC0645"/>
    <w:rsid w:val="00EC1A9A"/>
    <w:rsid w:val="00ED1ECB"/>
    <w:rsid w:val="00EE0B00"/>
    <w:rsid w:val="00EE257A"/>
    <w:rsid w:val="00EE2FF2"/>
    <w:rsid w:val="00EF7077"/>
    <w:rsid w:val="00F22D87"/>
    <w:rsid w:val="00F44D70"/>
    <w:rsid w:val="00F653C6"/>
    <w:rsid w:val="00FA7DD3"/>
    <w:rsid w:val="00FD187C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4051"/>
  <w15:docId w15:val="{1E17AAF8-DF45-45C0-A08D-2526EB7A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9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85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854"/>
  </w:style>
  <w:style w:type="paragraph" w:styleId="a8">
    <w:name w:val="footer"/>
    <w:basedOn w:val="a"/>
    <w:link w:val="a9"/>
    <w:uiPriority w:val="99"/>
    <w:unhideWhenUsed/>
    <w:rsid w:val="00866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854"/>
  </w:style>
  <w:style w:type="paragraph" w:styleId="aa">
    <w:name w:val="Body Text"/>
    <w:basedOn w:val="a"/>
    <w:link w:val="ab"/>
    <w:unhideWhenUsed/>
    <w:rsid w:val="00505FF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05FF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C4D2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C4D2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C4D2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4D2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C4D2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E5376A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D85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dc:description/>
  <cp:lastModifiedBy>Антропов Станислав</cp:lastModifiedBy>
  <cp:revision>6</cp:revision>
  <cp:lastPrinted>2026-01-28T04:00:00Z</cp:lastPrinted>
  <dcterms:created xsi:type="dcterms:W3CDTF">2026-01-28T03:22:00Z</dcterms:created>
  <dcterms:modified xsi:type="dcterms:W3CDTF">2026-01-29T03:25:00Z</dcterms:modified>
</cp:coreProperties>
</file>